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43" w:rsidRDefault="00624B7F">
      <w:pPr>
        <w:adjustRightInd w:val="0"/>
        <w:snapToGrid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Table </w:t>
      </w:r>
      <w:r>
        <w:rPr>
          <w:rFonts w:ascii="Calibri" w:hAnsi="Calibri" w:cs="Calibri" w:hint="eastAsia"/>
          <w:b/>
          <w:bCs/>
          <w:color w:val="000000"/>
          <w:sz w:val="24"/>
          <w:szCs w:val="24"/>
        </w:rPr>
        <w:t>S10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. Comparison of </w:t>
      </w:r>
      <w:r>
        <w:rPr>
          <w:rFonts w:ascii="Calibri" w:hAnsi="Calibri" w:cs="Calibri"/>
          <w:b/>
          <w:bCs/>
          <w:sz w:val="24"/>
          <w:szCs w:val="24"/>
        </w:rPr>
        <w:t>clinical characteristics of HCC patients in VM-positive and VM-negative groups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38"/>
        <w:gridCol w:w="2231"/>
        <w:gridCol w:w="2298"/>
        <w:gridCol w:w="1387"/>
      </w:tblGrid>
      <w:tr w:rsidR="00EC5A43">
        <w:trPr>
          <w:trHeight w:val="330"/>
        </w:trPr>
        <w:tc>
          <w:tcPr>
            <w:tcW w:w="1998" w:type="pct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Characteristics</w:t>
            </w:r>
          </w:p>
        </w:tc>
        <w:tc>
          <w:tcPr>
            <w:tcW w:w="113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0" w:name="RANGE!B1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VM positive group</w:t>
            </w:r>
            <w:bookmarkEnd w:id="0"/>
          </w:p>
        </w:tc>
        <w:tc>
          <w:tcPr>
            <w:tcW w:w="116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VM negative group</w:t>
            </w:r>
          </w:p>
        </w:tc>
        <w:tc>
          <w:tcPr>
            <w:tcW w:w="704" w:type="pct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P-value</w:t>
            </w:r>
          </w:p>
        </w:tc>
      </w:tr>
      <w:tr w:rsidR="00EC5A43">
        <w:trPr>
          <w:trHeight w:val="330"/>
        </w:trPr>
        <w:tc>
          <w:tcPr>
            <w:tcW w:w="1998" w:type="pct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(n=38)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(n=42)</w:t>
            </w:r>
          </w:p>
        </w:tc>
        <w:tc>
          <w:tcPr>
            <w:tcW w:w="704" w:type="pct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</w:tr>
      <w:tr w:rsidR="00EC5A43">
        <w:trPr>
          <w:trHeight w:val="330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miR-215-5p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0.316±0.107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0.602±0.164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ZEB2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2.655±0.436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1.771±0.435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1" w:name="RANGE!A5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Tumor size (&gt;5cm, %)</w:t>
            </w:r>
            <w:bookmarkEnd w:id="1"/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34 (89.47%)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5 (11.90%)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2" w:name="RANGE!A6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Degree of differentiation (high, %)</w:t>
            </w:r>
            <w:bookmarkEnd w:id="2"/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12 (31.58%)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35 (83.33%)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3" w:name="RANGE!A7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TNM Staging</w:t>
            </w:r>
            <w:bookmarkEnd w:id="3"/>
          </w:p>
        </w:tc>
        <w:tc>
          <w:tcPr>
            <w:tcW w:w="113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5 (13.16%)</w:t>
            </w:r>
          </w:p>
        </w:tc>
        <w:tc>
          <w:tcPr>
            <w:tcW w:w="116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33 (78.57%)</w:t>
            </w:r>
          </w:p>
        </w:tc>
        <w:tc>
          <w:tcPr>
            <w:tcW w:w="70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4" w:name="RANGE!A8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(Phase I-II, %)</w:t>
            </w:r>
            <w:bookmarkEnd w:id="4"/>
          </w:p>
        </w:tc>
        <w:tc>
          <w:tcPr>
            <w:tcW w:w="113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5" w:name="RANGE!A9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Degree of cirrhosis</w:t>
            </w:r>
            <w:bookmarkEnd w:id="5"/>
          </w:p>
        </w:tc>
        <w:tc>
          <w:tcPr>
            <w:tcW w:w="113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34 (89.47%)</w:t>
            </w:r>
          </w:p>
        </w:tc>
        <w:tc>
          <w:tcPr>
            <w:tcW w:w="116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9 (21.43%)</w:t>
            </w:r>
          </w:p>
        </w:tc>
        <w:tc>
          <w:tcPr>
            <w:tcW w:w="70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bookmarkStart w:id="6" w:name="RANGE!D9"/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  <w:bookmarkEnd w:id="6"/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7" w:name="RANGE!A10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Moderate+severe</w:t>
            </w:r>
            <w:proofErr w:type="spellEnd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, %)</w:t>
            </w:r>
            <w:bookmarkEnd w:id="7"/>
          </w:p>
        </w:tc>
        <w:tc>
          <w:tcPr>
            <w:tcW w:w="113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Microvascular</w:t>
            </w:r>
            <w:proofErr w:type="spellEnd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density (MVD)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19.785±4.817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15.690±5.877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0.001*</w:t>
            </w: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8" w:name="RANGE!A12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Preoperative AFP (&gt;20, %)</w:t>
            </w:r>
            <w:bookmarkEnd w:id="8"/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26 (68.42%)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9 (21.43%)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9" w:name="RANGE!A13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Vascular invasion (%)</w:t>
            </w:r>
            <w:bookmarkEnd w:id="9"/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35 (92.11%)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9 (21.43%)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10" w:name="RANGE!A14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Recurrent metastases (%)</w:t>
            </w:r>
            <w:bookmarkEnd w:id="10"/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bookmarkStart w:id="11" w:name="RANGE!B14"/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33 (86.84%)</w:t>
            </w:r>
            <w:bookmarkEnd w:id="11"/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4 (9.52%)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</w:p>
        </w:tc>
      </w:tr>
      <w:tr w:rsidR="00EC5A43">
        <w:trPr>
          <w:trHeight w:val="315"/>
        </w:trPr>
        <w:tc>
          <w:tcPr>
            <w:tcW w:w="1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BCLC stage</w:t>
            </w:r>
          </w:p>
        </w:tc>
        <w:tc>
          <w:tcPr>
            <w:tcW w:w="1132" w:type="pct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27 (71.05%)</w:t>
            </w:r>
          </w:p>
        </w:tc>
        <w:tc>
          <w:tcPr>
            <w:tcW w:w="1166" w:type="pct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8 (19.05%)</w:t>
            </w:r>
          </w:p>
        </w:tc>
        <w:tc>
          <w:tcPr>
            <w:tcW w:w="704" w:type="pct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  <w:t>&lt;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0.001*</w:t>
            </w:r>
          </w:p>
        </w:tc>
      </w:tr>
      <w:tr w:rsidR="00EC5A43">
        <w:trPr>
          <w:trHeight w:val="330"/>
        </w:trPr>
        <w:tc>
          <w:tcPr>
            <w:tcW w:w="199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(Period B-C, %)</w:t>
            </w:r>
          </w:p>
        </w:tc>
        <w:tc>
          <w:tcPr>
            <w:tcW w:w="1132" w:type="pct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6" w:type="pct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4" w:type="pct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i/>
                <w:iCs/>
                <w:color w:val="000000"/>
                <w:kern w:val="0"/>
                <w:sz w:val="24"/>
                <w:szCs w:val="24"/>
              </w:rPr>
            </w:pPr>
          </w:p>
        </w:tc>
      </w:tr>
    </w:tbl>
    <w:p w:rsidR="00EC5A43" w:rsidRDefault="00EC5A43" w:rsidP="00421E44">
      <w:pPr>
        <w:adjustRightInd w:val="0"/>
        <w:snapToGrid w:val="0"/>
        <w:rPr>
          <w:rFonts w:ascii="Calibri" w:hAnsi="Calibri" w:cs="Calibri"/>
        </w:rPr>
      </w:pPr>
      <w:bookmarkStart w:id="12" w:name="_GoBack"/>
      <w:bookmarkEnd w:id="12"/>
    </w:p>
    <w:sectPr w:rsidR="00EC5A43">
      <w:footerReference w:type="default" r:id="rId8"/>
      <w:pgSz w:w="11906" w:h="16838"/>
      <w:pgMar w:top="1134" w:right="1134" w:bottom="1134" w:left="1134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42" w:rsidRDefault="00624B7F">
      <w:r>
        <w:separator/>
      </w:r>
    </w:p>
  </w:endnote>
  <w:endnote w:type="continuationSeparator" w:id="0">
    <w:p w:rsidR="00167242" w:rsidRDefault="006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43" w:rsidRDefault="00624B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5A43" w:rsidRDefault="00624B7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21E4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SdYgIAAAwFAAAOAAAAZHJzL2Uyb0RvYy54bWysVE1uEzEU3iNxB8t7Ommh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q0POnLDo0f33b/d3P+9/fGXgAaDOxxn0rj00U/+aejR65Ecwc929DjZ/URGDHFBvdvCq&#10;PjGZjaYH0+kEIgnZ+AP/1YO5DzG9UWRZJmoe0L8Cq1hfxDSojio5mqPz1pjSQ+NYV/Ojl4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2xVSd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C5A43" w:rsidRDefault="00624B7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21E4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42" w:rsidRDefault="00624B7F">
      <w:r>
        <w:separator/>
      </w:r>
    </w:p>
  </w:footnote>
  <w:footnote w:type="continuationSeparator" w:id="0">
    <w:p w:rsidR="00167242" w:rsidRDefault="00624B7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WPS Office" w15:userId="376889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MjI2M2JhNTAxZDE1YjFiMzczYWNmMWVkNjAyNjkifQ=="/>
  </w:docVars>
  <w:rsids>
    <w:rsidRoot w:val="0040467D"/>
    <w:rsid w:val="0000067A"/>
    <w:rsid w:val="00016738"/>
    <w:rsid w:val="00037150"/>
    <w:rsid w:val="00057064"/>
    <w:rsid w:val="0006468A"/>
    <w:rsid w:val="00067CD5"/>
    <w:rsid w:val="00085B59"/>
    <w:rsid w:val="00090518"/>
    <w:rsid w:val="000A511B"/>
    <w:rsid w:val="000B44FC"/>
    <w:rsid w:val="000C5388"/>
    <w:rsid w:val="000E2F51"/>
    <w:rsid w:val="000F14CA"/>
    <w:rsid w:val="00107B4E"/>
    <w:rsid w:val="001279B1"/>
    <w:rsid w:val="001349EB"/>
    <w:rsid w:val="001378BA"/>
    <w:rsid w:val="00147482"/>
    <w:rsid w:val="00161B95"/>
    <w:rsid w:val="00167242"/>
    <w:rsid w:val="001717CA"/>
    <w:rsid w:val="001727AF"/>
    <w:rsid w:val="0019544E"/>
    <w:rsid w:val="001A4F06"/>
    <w:rsid w:val="001D4EAB"/>
    <w:rsid w:val="001E2019"/>
    <w:rsid w:val="001E3C71"/>
    <w:rsid w:val="001F26FB"/>
    <w:rsid w:val="00206AFD"/>
    <w:rsid w:val="00213D4C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2D0A62"/>
    <w:rsid w:val="00303396"/>
    <w:rsid w:val="0030486F"/>
    <w:rsid w:val="00313E96"/>
    <w:rsid w:val="003367D3"/>
    <w:rsid w:val="00344C6E"/>
    <w:rsid w:val="00352958"/>
    <w:rsid w:val="0035737E"/>
    <w:rsid w:val="00376136"/>
    <w:rsid w:val="003878A4"/>
    <w:rsid w:val="003B0E6C"/>
    <w:rsid w:val="003B1E71"/>
    <w:rsid w:val="003D0497"/>
    <w:rsid w:val="003D65A8"/>
    <w:rsid w:val="003D7286"/>
    <w:rsid w:val="003E42E4"/>
    <w:rsid w:val="003E4809"/>
    <w:rsid w:val="003F3A39"/>
    <w:rsid w:val="003F43F7"/>
    <w:rsid w:val="003F7E36"/>
    <w:rsid w:val="0040467D"/>
    <w:rsid w:val="004070FE"/>
    <w:rsid w:val="00420B09"/>
    <w:rsid w:val="00421E44"/>
    <w:rsid w:val="004277C1"/>
    <w:rsid w:val="00451255"/>
    <w:rsid w:val="00453AAE"/>
    <w:rsid w:val="00464AFB"/>
    <w:rsid w:val="00472192"/>
    <w:rsid w:val="00472F20"/>
    <w:rsid w:val="004A388D"/>
    <w:rsid w:val="004A48F7"/>
    <w:rsid w:val="004B65EA"/>
    <w:rsid w:val="004E0F48"/>
    <w:rsid w:val="004E16B1"/>
    <w:rsid w:val="00500488"/>
    <w:rsid w:val="005203DE"/>
    <w:rsid w:val="005205E6"/>
    <w:rsid w:val="005206CD"/>
    <w:rsid w:val="00527570"/>
    <w:rsid w:val="00536E36"/>
    <w:rsid w:val="005473A3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24B7F"/>
    <w:rsid w:val="006255D7"/>
    <w:rsid w:val="006344EC"/>
    <w:rsid w:val="00634AE3"/>
    <w:rsid w:val="00661E4C"/>
    <w:rsid w:val="00664DB5"/>
    <w:rsid w:val="006722E6"/>
    <w:rsid w:val="0068747B"/>
    <w:rsid w:val="00687AF4"/>
    <w:rsid w:val="00691E8F"/>
    <w:rsid w:val="00693FD2"/>
    <w:rsid w:val="006A50A8"/>
    <w:rsid w:val="006A6D3A"/>
    <w:rsid w:val="006A7380"/>
    <w:rsid w:val="006C3D77"/>
    <w:rsid w:val="006C7597"/>
    <w:rsid w:val="006D50FA"/>
    <w:rsid w:val="006E297B"/>
    <w:rsid w:val="00710812"/>
    <w:rsid w:val="007201C6"/>
    <w:rsid w:val="00747B4F"/>
    <w:rsid w:val="00760B70"/>
    <w:rsid w:val="007658F8"/>
    <w:rsid w:val="00766D82"/>
    <w:rsid w:val="00776135"/>
    <w:rsid w:val="00791AF0"/>
    <w:rsid w:val="00794A42"/>
    <w:rsid w:val="0079758B"/>
    <w:rsid w:val="007D3FD1"/>
    <w:rsid w:val="007E24B9"/>
    <w:rsid w:val="007E599A"/>
    <w:rsid w:val="007E628C"/>
    <w:rsid w:val="007F41FF"/>
    <w:rsid w:val="007F73F9"/>
    <w:rsid w:val="0080261A"/>
    <w:rsid w:val="00806321"/>
    <w:rsid w:val="00812FBF"/>
    <w:rsid w:val="00815A2D"/>
    <w:rsid w:val="00827D9F"/>
    <w:rsid w:val="00836B0A"/>
    <w:rsid w:val="00847837"/>
    <w:rsid w:val="00856DCD"/>
    <w:rsid w:val="008628EF"/>
    <w:rsid w:val="00871F68"/>
    <w:rsid w:val="0087705F"/>
    <w:rsid w:val="008B40FD"/>
    <w:rsid w:val="008C1715"/>
    <w:rsid w:val="008D149C"/>
    <w:rsid w:val="009069D3"/>
    <w:rsid w:val="00910764"/>
    <w:rsid w:val="00924F1B"/>
    <w:rsid w:val="009259CD"/>
    <w:rsid w:val="009269DD"/>
    <w:rsid w:val="00940BCE"/>
    <w:rsid w:val="00970F4F"/>
    <w:rsid w:val="009802EA"/>
    <w:rsid w:val="009807ED"/>
    <w:rsid w:val="0099162E"/>
    <w:rsid w:val="009931D4"/>
    <w:rsid w:val="009A2A6E"/>
    <w:rsid w:val="009A45FB"/>
    <w:rsid w:val="009E4461"/>
    <w:rsid w:val="009F2288"/>
    <w:rsid w:val="009F2E48"/>
    <w:rsid w:val="009F7513"/>
    <w:rsid w:val="00A13FFF"/>
    <w:rsid w:val="00A15906"/>
    <w:rsid w:val="00A30477"/>
    <w:rsid w:val="00A56831"/>
    <w:rsid w:val="00A76153"/>
    <w:rsid w:val="00AA0F65"/>
    <w:rsid w:val="00AC4A7F"/>
    <w:rsid w:val="00AC6D71"/>
    <w:rsid w:val="00AD673E"/>
    <w:rsid w:val="00AE153E"/>
    <w:rsid w:val="00AE6141"/>
    <w:rsid w:val="00AF2115"/>
    <w:rsid w:val="00B03542"/>
    <w:rsid w:val="00B124C6"/>
    <w:rsid w:val="00B25400"/>
    <w:rsid w:val="00B26401"/>
    <w:rsid w:val="00B35E7E"/>
    <w:rsid w:val="00B438C2"/>
    <w:rsid w:val="00B54F25"/>
    <w:rsid w:val="00B62B77"/>
    <w:rsid w:val="00B96A00"/>
    <w:rsid w:val="00BA252E"/>
    <w:rsid w:val="00BA2B14"/>
    <w:rsid w:val="00BB51EC"/>
    <w:rsid w:val="00C047F8"/>
    <w:rsid w:val="00C07DE4"/>
    <w:rsid w:val="00C223FF"/>
    <w:rsid w:val="00C27F9B"/>
    <w:rsid w:val="00C3567B"/>
    <w:rsid w:val="00C364BD"/>
    <w:rsid w:val="00C53BC7"/>
    <w:rsid w:val="00C60EB6"/>
    <w:rsid w:val="00C61350"/>
    <w:rsid w:val="00C75009"/>
    <w:rsid w:val="00C87FA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F0CF7"/>
    <w:rsid w:val="00E03972"/>
    <w:rsid w:val="00E14A03"/>
    <w:rsid w:val="00E14B38"/>
    <w:rsid w:val="00E27331"/>
    <w:rsid w:val="00E304DA"/>
    <w:rsid w:val="00E3510A"/>
    <w:rsid w:val="00E36393"/>
    <w:rsid w:val="00E442BB"/>
    <w:rsid w:val="00E503CA"/>
    <w:rsid w:val="00E60186"/>
    <w:rsid w:val="00E72022"/>
    <w:rsid w:val="00E76990"/>
    <w:rsid w:val="00E8271B"/>
    <w:rsid w:val="00E85954"/>
    <w:rsid w:val="00E91BFC"/>
    <w:rsid w:val="00EB1168"/>
    <w:rsid w:val="00EC17B1"/>
    <w:rsid w:val="00EC19D0"/>
    <w:rsid w:val="00EC5A43"/>
    <w:rsid w:val="00ED2DD6"/>
    <w:rsid w:val="00EE0B7D"/>
    <w:rsid w:val="00EF66F1"/>
    <w:rsid w:val="00EF683C"/>
    <w:rsid w:val="00F11380"/>
    <w:rsid w:val="00F12FA7"/>
    <w:rsid w:val="00F20B45"/>
    <w:rsid w:val="00F34214"/>
    <w:rsid w:val="00F44F25"/>
    <w:rsid w:val="00F72B63"/>
    <w:rsid w:val="00F732C6"/>
    <w:rsid w:val="00F902B6"/>
    <w:rsid w:val="00F9529F"/>
    <w:rsid w:val="00FC39D5"/>
    <w:rsid w:val="00FC6C6E"/>
    <w:rsid w:val="00FE19FE"/>
    <w:rsid w:val="00FF22A3"/>
    <w:rsid w:val="00FF31F2"/>
    <w:rsid w:val="11335BD7"/>
    <w:rsid w:val="1E03765B"/>
    <w:rsid w:val="1E2D1660"/>
    <w:rsid w:val="215C64E4"/>
    <w:rsid w:val="27CE7A10"/>
    <w:rsid w:val="298C22CD"/>
    <w:rsid w:val="35B53794"/>
    <w:rsid w:val="3DD516A1"/>
    <w:rsid w:val="4F204746"/>
    <w:rsid w:val="52B21B59"/>
    <w:rsid w:val="57144B90"/>
    <w:rsid w:val="5E4915C3"/>
    <w:rsid w:val="60422F97"/>
    <w:rsid w:val="666C6C1F"/>
    <w:rsid w:val="69A2427D"/>
    <w:rsid w:val="70C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Windows 用户</cp:lastModifiedBy>
  <cp:revision>3</cp:revision>
  <dcterms:created xsi:type="dcterms:W3CDTF">2023-11-09T08:01:00Z</dcterms:created>
  <dcterms:modified xsi:type="dcterms:W3CDTF">2023-11-10T08:36:00Z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34637264A119430D8BEEA5169D4A7DD2_12</vt:lpwstr>
  </property>
</Properties>
</file>